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F3C990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C47A0D">
        <w:rPr>
          <w:noProof w:val="0"/>
          <w:sz w:val="24"/>
          <w:szCs w:val="24"/>
        </w:rPr>
        <w:t xml:space="preserve"> #97</w:t>
      </w:r>
      <w:r w:rsidR="00250CCD">
        <w:rPr>
          <w:noProof w:val="0"/>
          <w:sz w:val="24"/>
          <w:szCs w:val="24"/>
        </w:rPr>
        <w:t>-bis</w:t>
      </w:r>
      <w:r w:rsidRPr="00B266B0">
        <w:rPr>
          <w:bCs/>
          <w:noProof w:val="0"/>
          <w:sz w:val="24"/>
          <w:szCs w:val="24"/>
        </w:rPr>
        <w:tab/>
      </w:r>
      <w:r w:rsidR="005C779E" w:rsidRPr="005C779E">
        <w:rPr>
          <w:bCs/>
          <w:noProof w:val="0"/>
          <w:sz w:val="24"/>
          <w:szCs w:val="24"/>
        </w:rPr>
        <w:t>R3-174139</w:t>
      </w:r>
    </w:p>
    <w:p w14:paraId="231362B2" w14:textId="738039D2" w:rsidR="00CD4C7B" w:rsidRPr="00B266B0" w:rsidRDefault="00250CCD" w:rsidP="00CD4C7B">
      <w:pPr>
        <w:pStyle w:val="Header"/>
        <w:tabs>
          <w:tab w:val="right" w:pos="9639"/>
        </w:tabs>
        <w:rPr>
          <w:bCs/>
          <w:noProof w:val="0"/>
          <w:sz w:val="24"/>
          <w:szCs w:val="24"/>
        </w:rPr>
      </w:pPr>
      <w:r>
        <w:rPr>
          <w:noProof w:val="0"/>
          <w:sz w:val="24"/>
          <w:szCs w:val="24"/>
          <w:lang w:eastAsia="zh-CN"/>
        </w:rPr>
        <w:t>Prague</w:t>
      </w:r>
      <w:r w:rsidR="00C47A0D">
        <w:rPr>
          <w:noProof w:val="0"/>
          <w:sz w:val="24"/>
          <w:szCs w:val="24"/>
          <w:lang w:eastAsia="zh-CN"/>
        </w:rPr>
        <w:t xml:space="preserve">, </w:t>
      </w:r>
      <w:r>
        <w:rPr>
          <w:noProof w:val="0"/>
          <w:sz w:val="24"/>
          <w:szCs w:val="24"/>
          <w:lang w:eastAsia="zh-CN"/>
        </w:rPr>
        <w:t>Czechia</w:t>
      </w:r>
      <w:r w:rsidR="00C47A0D">
        <w:rPr>
          <w:noProof w:val="0"/>
          <w:sz w:val="24"/>
          <w:szCs w:val="24"/>
          <w:lang w:eastAsia="zh-CN"/>
        </w:rPr>
        <w:t>, EU</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338371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03F5" w:rsidRPr="00A603F5">
        <w:rPr>
          <w:rFonts w:cs="Arial"/>
          <w:b/>
          <w:bCs/>
          <w:sz w:val="24"/>
          <w:lang w:eastAsia="ja-JP"/>
        </w:rPr>
        <w:t>10.</w:t>
      </w:r>
      <w:r w:rsidR="005C779E">
        <w:rPr>
          <w:rFonts w:cs="Arial"/>
          <w:b/>
          <w:bCs/>
          <w:sz w:val="24"/>
          <w:lang w:eastAsia="ja-JP"/>
        </w:rPr>
        <w:t>8.1.3</w:t>
      </w:r>
    </w:p>
    <w:p w14:paraId="6A1BC0C1" w14:textId="1EA618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47A0D">
        <w:rPr>
          <w:rFonts w:ascii="Arial" w:hAnsi="Arial" w:cs="Arial"/>
          <w:b/>
          <w:bCs/>
          <w:sz w:val="24"/>
        </w:rPr>
        <w:t>Nokia</w:t>
      </w:r>
      <w:r w:rsidR="00090468">
        <w:rPr>
          <w:rFonts w:ascii="Arial" w:hAnsi="Arial" w:cs="Arial"/>
          <w:b/>
          <w:bCs/>
          <w:sz w:val="24"/>
        </w:rPr>
        <w:t xml:space="preserve"> Shanghai Bell</w:t>
      </w:r>
    </w:p>
    <w:p w14:paraId="45BE90BE" w14:textId="2715635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C779E">
        <w:rPr>
          <w:rFonts w:ascii="Arial" w:hAnsi="Arial" w:cs="Arial"/>
          <w:b/>
          <w:bCs/>
          <w:sz w:val="24"/>
        </w:rPr>
        <w:t>Way forward for enabling delta signalling</w:t>
      </w:r>
    </w:p>
    <w:p w14:paraId="7DF86DB4" w14:textId="4FCB8326"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603F5">
        <w:rPr>
          <w:rFonts w:ascii="Arial" w:hAnsi="Arial" w:cs="Arial"/>
          <w:b/>
          <w:bCs/>
          <w:sz w:val="24"/>
        </w:rPr>
        <w:t>Decission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3AD95FEB" w14:textId="5A8DE30A" w:rsidR="005953F2" w:rsidRDefault="00250CCD" w:rsidP="005C779E">
      <w:r>
        <w:rPr>
          <w:lang w:val="en-US"/>
        </w:rPr>
        <w:t>At RAN3 meeting #97</w:t>
      </w:r>
      <w:r w:rsidR="00EE70B7">
        <w:rPr>
          <w:lang w:val="en-US"/>
        </w:rPr>
        <w:t xml:space="preserve">-bis, it was discussed how to </w:t>
      </w:r>
      <w:r w:rsidR="005C779E">
        <w:rPr>
          <w:lang w:val="en-US"/>
        </w:rPr>
        <w:t>address the request from RAN2 to enable delta signaling in MN-initiated SN change.</w:t>
      </w:r>
    </w:p>
    <w:p w14:paraId="5C96BF5E" w14:textId="4874ADD5" w:rsidR="00250CCD" w:rsidRPr="00250CCD" w:rsidRDefault="00EE70B7" w:rsidP="00CD4C7B">
      <w:r>
        <w:t xml:space="preserve">This paper summarises the offline discussion and proposes a </w:t>
      </w:r>
      <w:r w:rsidR="005C779E">
        <w:t>way forward</w:t>
      </w:r>
      <w:r>
        <w:t>.</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7F26580B" w14:textId="7307DA42" w:rsidR="00A02E1F" w:rsidRDefault="005C779E" w:rsidP="00A02E1F">
      <w:r>
        <w:t>At the meeting, it was clarified and acknowledged that MN-initiated SN change will likely be non-time critical. Participating companies expressed following preferences:</w:t>
      </w:r>
    </w:p>
    <w:p w14:paraId="0B272A61" w14:textId="49483E5C" w:rsidR="005C779E" w:rsidRDefault="005C779E" w:rsidP="005C779E">
      <w:pPr>
        <w:pStyle w:val="ListParagraph"/>
        <w:numPr>
          <w:ilvl w:val="0"/>
          <w:numId w:val="9"/>
        </w:numPr>
      </w:pPr>
      <w:r>
        <w:t xml:space="preserve">Reusing the </w:t>
      </w:r>
      <w:r w:rsidRPr="005C779E">
        <w:t>MeNB initiated SgNB Modification Preparation</w:t>
      </w:r>
      <w:r>
        <w:t xml:space="preserve"> procedure to fetch the current SCG config from the SN</w:t>
      </w:r>
      <w:r w:rsidR="00FA2294">
        <w:rPr>
          <w:rFonts w:hint="eastAsia"/>
          <w:lang w:eastAsia="zh-CN"/>
        </w:rPr>
        <w:t xml:space="preserve">. </w:t>
      </w:r>
      <w:r w:rsidR="00FA2294">
        <w:rPr>
          <w:lang w:eastAsia="zh-CN"/>
        </w:rPr>
        <w:t>T</w:t>
      </w:r>
      <w:r w:rsidR="00FA2294">
        <w:rPr>
          <w:rFonts w:hint="eastAsia"/>
          <w:lang w:eastAsia="zh-CN"/>
        </w:rPr>
        <w:t>he MeNB indicates the SCG-config need to be fetched in the existing message.</w:t>
      </w:r>
    </w:p>
    <w:p w14:paraId="39365B94" w14:textId="394EA29C" w:rsidR="005C779E" w:rsidRDefault="005C779E" w:rsidP="005C779E">
      <w:pPr>
        <w:pStyle w:val="ListParagraph"/>
        <w:numPr>
          <w:ilvl w:val="0"/>
          <w:numId w:val="9"/>
        </w:numPr>
      </w:pPr>
      <w:r>
        <w:t>Providing the MN with the SCG config at each SCG change</w:t>
      </w:r>
    </w:p>
    <w:p w14:paraId="18C10C32" w14:textId="66AB8952" w:rsidR="005C779E" w:rsidRDefault="005C779E" w:rsidP="005C779E">
      <w:pPr>
        <w:pStyle w:val="ListParagraph"/>
        <w:numPr>
          <w:ilvl w:val="0"/>
          <w:numId w:val="9"/>
        </w:numPr>
      </w:pPr>
      <w:r>
        <w:t>Disabling delta signalling for the MN-initiated change</w:t>
      </w:r>
    </w:p>
    <w:p w14:paraId="73F16E03" w14:textId="06377C22" w:rsidR="005C779E" w:rsidRDefault="005C779E" w:rsidP="005C779E">
      <w:r>
        <w:t>Option 2 requires possibly huge amount of signalling from the SN, which will rarely be used. It is therefore considered undesirable.</w:t>
      </w:r>
    </w:p>
    <w:p w14:paraId="19A1E3AB" w14:textId="6FD1109F" w:rsidR="005C779E" w:rsidRDefault="005C779E" w:rsidP="005C779E">
      <w:pPr>
        <w:rPr>
          <w:b/>
          <w:lang w:eastAsia="zh-CN"/>
        </w:rPr>
      </w:pPr>
      <w:r w:rsidRPr="005C779E">
        <w:rPr>
          <w:b/>
        </w:rPr>
        <w:t>Agreement 1: Taking into account that the MN-initiated SN change is likely rare, it is not desirable to provide each SCG reconfiguration to the MN.</w:t>
      </w:r>
    </w:p>
    <w:p w14:paraId="49BBD962" w14:textId="22CFE938" w:rsidR="00DE35A2" w:rsidRDefault="00DE35A2" w:rsidP="005C779E">
      <w:pPr>
        <w:rPr>
          <w:lang w:eastAsia="zh-CN"/>
        </w:rPr>
      </w:pPr>
      <w:r>
        <w:rPr>
          <w:lang w:eastAsia="zh-CN"/>
        </w:rPr>
        <w:t>Based on the agreement in RAN2</w:t>
      </w:r>
      <w:r w:rsidRPr="00026B2C">
        <w:rPr>
          <w:rFonts w:eastAsia="PMingLiU" w:hint="eastAsia"/>
          <w:lang w:eastAsia="zh-TW"/>
        </w:rPr>
        <w:t>#AH2</w:t>
      </w:r>
      <w:r>
        <w:rPr>
          <w:lang w:eastAsia="zh-CN"/>
        </w:rPr>
        <w:t>, the delta signalling at MN initiated SN change needs to be supported</w:t>
      </w:r>
      <w:r w:rsidRPr="00026B2C">
        <w:rPr>
          <w:rFonts w:eastAsia="PMingLiU" w:hint="eastAsia"/>
          <w:lang w:eastAsia="zh-TW"/>
        </w:rPr>
        <w:t>, hence</w:t>
      </w:r>
      <w:r>
        <w:rPr>
          <w:lang w:eastAsia="zh-CN"/>
        </w:rPr>
        <w:t xml:space="preserve"> the MN needs to have the current SCG configuration in SN</w:t>
      </w:r>
      <w:r>
        <w:rPr>
          <w:rFonts w:hint="eastAsia"/>
          <w:lang w:eastAsia="zh-CN"/>
        </w:rPr>
        <w:t xml:space="preserve"> in case of MN decide</w:t>
      </w:r>
      <w:r w:rsidR="008940E4">
        <w:rPr>
          <w:rFonts w:hint="eastAsia"/>
          <w:lang w:eastAsia="zh-CN"/>
        </w:rPr>
        <w:t>s</w:t>
      </w:r>
      <w:r>
        <w:rPr>
          <w:rFonts w:hint="eastAsia"/>
          <w:lang w:eastAsia="zh-CN"/>
        </w:rPr>
        <w:t xml:space="preserve"> delta signalling is used. Disabling delta signalling for the MN-initiated change is MN decision and can be implemented by not </w:t>
      </w:r>
      <w:r>
        <w:rPr>
          <w:lang w:eastAsia="zh-CN"/>
        </w:rPr>
        <w:t>triggering</w:t>
      </w:r>
      <w:r>
        <w:rPr>
          <w:rFonts w:hint="eastAsia"/>
          <w:lang w:eastAsia="zh-CN"/>
        </w:rPr>
        <w:t xml:space="preserve"> the fetch procedure to the SN.</w:t>
      </w:r>
    </w:p>
    <w:p w14:paraId="39F1291D" w14:textId="1C8F267E" w:rsidR="00DE35A2" w:rsidRPr="005C779E" w:rsidRDefault="00DE35A2" w:rsidP="005C779E">
      <w:pPr>
        <w:rPr>
          <w:b/>
          <w:lang w:eastAsia="zh-CN"/>
        </w:rPr>
      </w:pPr>
      <w:r>
        <w:rPr>
          <w:rFonts w:hint="eastAsia"/>
          <w:b/>
          <w:lang w:eastAsia="zh-CN"/>
        </w:rPr>
        <w:t xml:space="preserve">Agreement 2: Taking into account that delta </w:t>
      </w:r>
      <w:r>
        <w:rPr>
          <w:b/>
          <w:lang w:eastAsia="zh-CN"/>
        </w:rPr>
        <w:t>signalling</w:t>
      </w:r>
      <w:r>
        <w:rPr>
          <w:rFonts w:hint="eastAsia"/>
          <w:b/>
          <w:lang w:eastAsia="zh-CN"/>
        </w:rPr>
        <w:t xml:space="preserve"> need</w:t>
      </w:r>
      <w:r w:rsidR="004C2188">
        <w:rPr>
          <w:b/>
          <w:lang w:eastAsia="zh-CN"/>
        </w:rPr>
        <w:t>s</w:t>
      </w:r>
      <w:r>
        <w:rPr>
          <w:rFonts w:hint="eastAsia"/>
          <w:b/>
          <w:lang w:eastAsia="zh-CN"/>
        </w:rPr>
        <w:t xml:space="preserve"> to be supported</w:t>
      </w:r>
      <w:r w:rsidR="00A8674E">
        <w:rPr>
          <w:rFonts w:hint="eastAsia"/>
          <w:b/>
          <w:lang w:eastAsia="zh-CN"/>
        </w:rPr>
        <w:t xml:space="preserve"> </w:t>
      </w:r>
      <w:r w:rsidR="004C2188">
        <w:rPr>
          <w:b/>
          <w:lang w:eastAsia="zh-CN"/>
        </w:rPr>
        <w:t xml:space="preserve">(see </w:t>
      </w:r>
      <w:r w:rsidR="00A8674E">
        <w:rPr>
          <w:rFonts w:hint="eastAsia"/>
          <w:b/>
          <w:lang w:eastAsia="zh-CN"/>
        </w:rPr>
        <w:t>RAN2 agreement</w:t>
      </w:r>
      <w:r w:rsidR="004C2188">
        <w:rPr>
          <w:b/>
          <w:lang w:eastAsia="zh-CN"/>
        </w:rPr>
        <w:t>)</w:t>
      </w:r>
      <w:r>
        <w:rPr>
          <w:rFonts w:hint="eastAsia"/>
          <w:b/>
          <w:lang w:eastAsia="zh-CN"/>
        </w:rPr>
        <w:t xml:space="preserve">, </w:t>
      </w:r>
      <w:r w:rsidR="004C2188">
        <w:rPr>
          <w:b/>
          <w:lang w:eastAsia="zh-CN"/>
        </w:rPr>
        <w:t>SN Modification Preparation</w:t>
      </w:r>
      <w:r>
        <w:rPr>
          <w:rFonts w:hint="eastAsia"/>
          <w:b/>
          <w:lang w:eastAsia="zh-CN"/>
        </w:rPr>
        <w:t xml:space="preserve"> is used </w:t>
      </w:r>
      <w:r w:rsidR="004C2188">
        <w:rPr>
          <w:b/>
          <w:lang w:eastAsia="zh-CN"/>
        </w:rPr>
        <w:t xml:space="preserve">to fetch the SCG config </w:t>
      </w:r>
      <w:r>
        <w:rPr>
          <w:rFonts w:hint="eastAsia"/>
          <w:b/>
          <w:lang w:eastAsia="zh-CN"/>
        </w:rPr>
        <w:t>when MN decide</w:t>
      </w:r>
      <w:r w:rsidR="00A8674E">
        <w:rPr>
          <w:rFonts w:hint="eastAsia"/>
          <w:b/>
          <w:lang w:eastAsia="zh-CN"/>
        </w:rPr>
        <w:t>s</w:t>
      </w:r>
      <w:r>
        <w:rPr>
          <w:rFonts w:hint="eastAsia"/>
          <w:b/>
          <w:lang w:eastAsia="zh-CN"/>
        </w:rPr>
        <w:t xml:space="preserve"> to use delta signalling. </w:t>
      </w:r>
      <w:r w:rsidR="004C2188">
        <w:rPr>
          <w:b/>
          <w:lang w:eastAsia="zh-CN"/>
        </w:rPr>
        <w:t>Usage of the procedure is optional.</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5B2522DB" w14:textId="52DA4E9F" w:rsidR="00C92CBB" w:rsidRDefault="00C41E64" w:rsidP="001B49C9">
      <w:r>
        <w:t>Following agreements are made:</w:t>
      </w:r>
    </w:p>
    <w:p w14:paraId="1C07185C" w14:textId="67A73BF6" w:rsidR="00C41E64" w:rsidRDefault="00C41E64" w:rsidP="00C41E64">
      <w:pPr>
        <w:pStyle w:val="ListParagraph"/>
        <w:numPr>
          <w:ilvl w:val="0"/>
          <w:numId w:val="10"/>
        </w:numPr>
      </w:pPr>
      <w:r w:rsidRPr="00C41E64">
        <w:t>Taking into account that the MN-initiated SN change is likely rare, it is not desirable to provide each SCG reconfiguration to the MN.</w:t>
      </w:r>
    </w:p>
    <w:p w14:paraId="15B42DC7" w14:textId="553C0245" w:rsidR="00C41E64" w:rsidRDefault="00C41E64" w:rsidP="00C41E64">
      <w:pPr>
        <w:pStyle w:val="ListParagraph"/>
        <w:numPr>
          <w:ilvl w:val="0"/>
          <w:numId w:val="10"/>
        </w:numPr>
      </w:pPr>
      <w:r w:rsidRPr="00C41E64">
        <w:t>Taking into account that delta signalling needs to be supported (see RAN2 agreement), SN Modification Preparation is used to fetch the SCG config when MN decides to use delta signalling. Usage of the procedure is optional.</w:t>
      </w:r>
    </w:p>
    <w:p w14:paraId="7A2FF52B" w14:textId="2A6822D7" w:rsidR="00C41E64" w:rsidRDefault="00C41E64" w:rsidP="00C41E64">
      <w:r>
        <w:t>Based on them, it is proposed to endorse the stage-2 and stage-3 TPs</w:t>
      </w:r>
      <w:r w:rsidR="00083C72">
        <w:t xml:space="preserve"> [1-3]</w:t>
      </w:r>
      <w:bookmarkStart w:id="1" w:name="_GoBack"/>
      <w:bookmarkEnd w:id="1"/>
      <w:r>
        <w:t>. An LS to RAN2 should be sent, too</w:t>
      </w:r>
      <w:r w:rsidR="00083C72">
        <w:t xml:space="preserve"> [4]</w:t>
      </w:r>
      <w:r>
        <w:t>.</w:t>
      </w:r>
    </w:p>
    <w:p w14:paraId="0FDCFAC2" w14:textId="77777777" w:rsidR="00CD4C7B" w:rsidRPr="006E13D1" w:rsidRDefault="00CD4C7B" w:rsidP="00CD4C7B">
      <w:pPr>
        <w:pStyle w:val="Heading1"/>
      </w:pPr>
      <w:r w:rsidRPr="006E13D1">
        <w:lastRenderedPageBreak/>
        <w:t>References</w:t>
      </w:r>
    </w:p>
    <w:p w14:paraId="7D694AEA" w14:textId="0811C099" w:rsidR="009E3063" w:rsidRPr="006E13D1" w:rsidRDefault="00083C72" w:rsidP="00927C14">
      <w:pPr>
        <w:numPr>
          <w:ilvl w:val="0"/>
          <w:numId w:val="4"/>
        </w:numPr>
        <w:overflowPunct w:val="0"/>
        <w:autoSpaceDE w:val="0"/>
        <w:autoSpaceDN w:val="0"/>
        <w:adjustRightInd w:val="0"/>
        <w:textAlignment w:val="baseline"/>
      </w:pPr>
      <w:r>
        <w:t>R3-174181, RAN3 #97-bis</w:t>
      </w:r>
    </w:p>
    <w:p w14:paraId="268F33D1" w14:textId="2F76038D" w:rsidR="00083C72" w:rsidRPr="006E13D1" w:rsidRDefault="00083C72" w:rsidP="00083C72">
      <w:pPr>
        <w:numPr>
          <w:ilvl w:val="0"/>
          <w:numId w:val="4"/>
        </w:numPr>
        <w:overflowPunct w:val="0"/>
        <w:autoSpaceDE w:val="0"/>
        <w:autoSpaceDN w:val="0"/>
        <w:adjustRightInd w:val="0"/>
        <w:textAlignment w:val="baseline"/>
      </w:pPr>
      <w:r>
        <w:t>R3-17418</w:t>
      </w:r>
      <w:r>
        <w:t>2</w:t>
      </w:r>
      <w:r>
        <w:t>, RAN3 #97-bis</w:t>
      </w:r>
    </w:p>
    <w:p w14:paraId="1529C1FF" w14:textId="6DBEDF3E" w:rsidR="00083C72" w:rsidRPr="006E13D1" w:rsidRDefault="00083C72" w:rsidP="00083C72">
      <w:pPr>
        <w:numPr>
          <w:ilvl w:val="0"/>
          <w:numId w:val="4"/>
        </w:numPr>
        <w:overflowPunct w:val="0"/>
        <w:autoSpaceDE w:val="0"/>
        <w:autoSpaceDN w:val="0"/>
        <w:adjustRightInd w:val="0"/>
        <w:textAlignment w:val="baseline"/>
      </w:pPr>
      <w:r>
        <w:t>R3-174183</w:t>
      </w:r>
      <w:r>
        <w:t>, RAN3 #97-bis</w:t>
      </w:r>
    </w:p>
    <w:p w14:paraId="7E040E14" w14:textId="63FD719A" w:rsidR="00083C72" w:rsidRPr="006E13D1" w:rsidRDefault="00083C72" w:rsidP="00083C72">
      <w:pPr>
        <w:numPr>
          <w:ilvl w:val="0"/>
          <w:numId w:val="4"/>
        </w:numPr>
        <w:overflowPunct w:val="0"/>
        <w:autoSpaceDE w:val="0"/>
        <w:autoSpaceDN w:val="0"/>
        <w:adjustRightInd w:val="0"/>
        <w:textAlignment w:val="baseline"/>
      </w:pPr>
      <w:r>
        <w:t>R3-174200</w:t>
      </w:r>
      <w:r>
        <w:t>, RAN3 #97-bis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7AFED" w14:textId="77777777" w:rsidR="002644A9" w:rsidRDefault="002644A9">
      <w:r>
        <w:separator/>
      </w:r>
    </w:p>
  </w:endnote>
  <w:endnote w:type="continuationSeparator" w:id="0">
    <w:p w14:paraId="1F609015" w14:textId="77777777" w:rsidR="002644A9" w:rsidRDefault="00264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C64BA" w14:textId="77777777" w:rsidR="002644A9" w:rsidRDefault="002644A9">
      <w:r>
        <w:separator/>
      </w:r>
    </w:p>
  </w:footnote>
  <w:footnote w:type="continuationSeparator" w:id="0">
    <w:p w14:paraId="50673F84" w14:textId="77777777" w:rsidR="002644A9" w:rsidRDefault="00264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90D7A"/>
    <w:multiLevelType w:val="hybridMultilevel"/>
    <w:tmpl w:val="DD9AE9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A954801"/>
    <w:multiLevelType w:val="hybridMultilevel"/>
    <w:tmpl w:val="1B7E02B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BCD096F"/>
    <w:multiLevelType w:val="hybridMultilevel"/>
    <w:tmpl w:val="64741BBE"/>
    <w:lvl w:ilvl="0" w:tplc="04150001">
      <w:start w:val="1"/>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9D15FE4"/>
    <w:multiLevelType w:val="hybridMultilevel"/>
    <w:tmpl w:val="F33E4F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6"/>
  </w:num>
  <w:num w:numId="7">
    <w:abstractNumId w:val="4"/>
  </w:num>
  <w:num w:numId="8">
    <w:abstractNumId w:val="5"/>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40095"/>
    <w:rsid w:val="00080512"/>
    <w:rsid w:val="00083240"/>
    <w:rsid w:val="00083C72"/>
    <w:rsid w:val="00087E4E"/>
    <w:rsid w:val="00090468"/>
    <w:rsid w:val="000A78CD"/>
    <w:rsid w:val="000B7BCF"/>
    <w:rsid w:val="000C522B"/>
    <w:rsid w:val="000D16AA"/>
    <w:rsid w:val="000D58AB"/>
    <w:rsid w:val="000D5E97"/>
    <w:rsid w:val="000F4590"/>
    <w:rsid w:val="00104219"/>
    <w:rsid w:val="0010520C"/>
    <w:rsid w:val="00107A4A"/>
    <w:rsid w:val="00120C0A"/>
    <w:rsid w:val="00127E5D"/>
    <w:rsid w:val="00145075"/>
    <w:rsid w:val="0015118F"/>
    <w:rsid w:val="001741A0"/>
    <w:rsid w:val="00181FDB"/>
    <w:rsid w:val="00187381"/>
    <w:rsid w:val="00194CD0"/>
    <w:rsid w:val="001B49C9"/>
    <w:rsid w:val="001C6417"/>
    <w:rsid w:val="001F168B"/>
    <w:rsid w:val="001F4841"/>
    <w:rsid w:val="001F7831"/>
    <w:rsid w:val="00204045"/>
    <w:rsid w:val="00216219"/>
    <w:rsid w:val="0022606D"/>
    <w:rsid w:val="0023670E"/>
    <w:rsid w:val="00240C7D"/>
    <w:rsid w:val="00250CCD"/>
    <w:rsid w:val="00257829"/>
    <w:rsid w:val="00263E69"/>
    <w:rsid w:val="002644A9"/>
    <w:rsid w:val="002747EC"/>
    <w:rsid w:val="00276396"/>
    <w:rsid w:val="002855BF"/>
    <w:rsid w:val="00294D0F"/>
    <w:rsid w:val="002A5529"/>
    <w:rsid w:val="002B01E5"/>
    <w:rsid w:val="002B0763"/>
    <w:rsid w:val="002D68C5"/>
    <w:rsid w:val="002F0D22"/>
    <w:rsid w:val="002F7673"/>
    <w:rsid w:val="00307504"/>
    <w:rsid w:val="003172DC"/>
    <w:rsid w:val="00322086"/>
    <w:rsid w:val="00322114"/>
    <w:rsid w:val="003253A7"/>
    <w:rsid w:val="00326069"/>
    <w:rsid w:val="00344999"/>
    <w:rsid w:val="00351149"/>
    <w:rsid w:val="0035462D"/>
    <w:rsid w:val="00355BDD"/>
    <w:rsid w:val="0037658D"/>
    <w:rsid w:val="003768B3"/>
    <w:rsid w:val="00383796"/>
    <w:rsid w:val="003934FB"/>
    <w:rsid w:val="00393F78"/>
    <w:rsid w:val="003B40AD"/>
    <w:rsid w:val="003C4E37"/>
    <w:rsid w:val="003D1916"/>
    <w:rsid w:val="003D4034"/>
    <w:rsid w:val="003E16BE"/>
    <w:rsid w:val="003E77FD"/>
    <w:rsid w:val="00401855"/>
    <w:rsid w:val="00415AC1"/>
    <w:rsid w:val="0043382D"/>
    <w:rsid w:val="004647A0"/>
    <w:rsid w:val="00477455"/>
    <w:rsid w:val="00486764"/>
    <w:rsid w:val="004C1EC1"/>
    <w:rsid w:val="004C2188"/>
    <w:rsid w:val="004C692C"/>
    <w:rsid w:val="004D3578"/>
    <w:rsid w:val="004D380D"/>
    <w:rsid w:val="004E1A40"/>
    <w:rsid w:val="004E213A"/>
    <w:rsid w:val="004F33D5"/>
    <w:rsid w:val="004F75EB"/>
    <w:rsid w:val="00503171"/>
    <w:rsid w:val="00506C28"/>
    <w:rsid w:val="00511B91"/>
    <w:rsid w:val="0051448F"/>
    <w:rsid w:val="005229AD"/>
    <w:rsid w:val="00534DA0"/>
    <w:rsid w:val="00543E6C"/>
    <w:rsid w:val="005607B4"/>
    <w:rsid w:val="00563280"/>
    <w:rsid w:val="00565087"/>
    <w:rsid w:val="0056573F"/>
    <w:rsid w:val="00576882"/>
    <w:rsid w:val="00585E5B"/>
    <w:rsid w:val="005923A6"/>
    <w:rsid w:val="005953F2"/>
    <w:rsid w:val="00596992"/>
    <w:rsid w:val="005C45C7"/>
    <w:rsid w:val="005C4A32"/>
    <w:rsid w:val="005C779E"/>
    <w:rsid w:val="005E0150"/>
    <w:rsid w:val="00611566"/>
    <w:rsid w:val="00637EF2"/>
    <w:rsid w:val="00646D99"/>
    <w:rsid w:val="00647F8A"/>
    <w:rsid w:val="00650F30"/>
    <w:rsid w:val="00656910"/>
    <w:rsid w:val="006719DF"/>
    <w:rsid w:val="006777CB"/>
    <w:rsid w:val="006C66D8"/>
    <w:rsid w:val="006D1E24"/>
    <w:rsid w:val="006E1417"/>
    <w:rsid w:val="006F19A4"/>
    <w:rsid w:val="006F3A0F"/>
    <w:rsid w:val="006F6A2C"/>
    <w:rsid w:val="00702F60"/>
    <w:rsid w:val="00710201"/>
    <w:rsid w:val="007130AB"/>
    <w:rsid w:val="00734A5B"/>
    <w:rsid w:val="00744E76"/>
    <w:rsid w:val="00751596"/>
    <w:rsid w:val="00757D40"/>
    <w:rsid w:val="00781F0F"/>
    <w:rsid w:val="0078727C"/>
    <w:rsid w:val="0079049D"/>
    <w:rsid w:val="007A5E86"/>
    <w:rsid w:val="007B18D8"/>
    <w:rsid w:val="007C095F"/>
    <w:rsid w:val="007E1361"/>
    <w:rsid w:val="007F5DE5"/>
    <w:rsid w:val="008028A4"/>
    <w:rsid w:val="00813245"/>
    <w:rsid w:val="008331AF"/>
    <w:rsid w:val="008616C3"/>
    <w:rsid w:val="008656D1"/>
    <w:rsid w:val="008753F5"/>
    <w:rsid w:val="008768CA"/>
    <w:rsid w:val="00877EF9"/>
    <w:rsid w:val="00880559"/>
    <w:rsid w:val="008940E4"/>
    <w:rsid w:val="008A69B7"/>
    <w:rsid w:val="008B5306"/>
    <w:rsid w:val="008D5594"/>
    <w:rsid w:val="0090271F"/>
    <w:rsid w:val="00902DB9"/>
    <w:rsid w:val="0090466A"/>
    <w:rsid w:val="00927C14"/>
    <w:rsid w:val="00936071"/>
    <w:rsid w:val="00940212"/>
    <w:rsid w:val="00942EC2"/>
    <w:rsid w:val="00961B32"/>
    <w:rsid w:val="00970DB3"/>
    <w:rsid w:val="00974BB0"/>
    <w:rsid w:val="00980156"/>
    <w:rsid w:val="00984C22"/>
    <w:rsid w:val="009A0AF3"/>
    <w:rsid w:val="009B07CD"/>
    <w:rsid w:val="009C19E9"/>
    <w:rsid w:val="009E3063"/>
    <w:rsid w:val="009E388D"/>
    <w:rsid w:val="00A02E1F"/>
    <w:rsid w:val="00A07D5A"/>
    <w:rsid w:val="00A10F02"/>
    <w:rsid w:val="00A204CA"/>
    <w:rsid w:val="00A2219E"/>
    <w:rsid w:val="00A35808"/>
    <w:rsid w:val="00A53724"/>
    <w:rsid w:val="00A603F5"/>
    <w:rsid w:val="00A6611E"/>
    <w:rsid w:val="00A71450"/>
    <w:rsid w:val="00A82346"/>
    <w:rsid w:val="00A8674E"/>
    <w:rsid w:val="00A9671C"/>
    <w:rsid w:val="00AA1553"/>
    <w:rsid w:val="00AB1468"/>
    <w:rsid w:val="00AC1CF4"/>
    <w:rsid w:val="00AC555D"/>
    <w:rsid w:val="00B1147E"/>
    <w:rsid w:val="00B15449"/>
    <w:rsid w:val="00B179BA"/>
    <w:rsid w:val="00B2394F"/>
    <w:rsid w:val="00B47FD1"/>
    <w:rsid w:val="00B516BB"/>
    <w:rsid w:val="00B77603"/>
    <w:rsid w:val="00B830DC"/>
    <w:rsid w:val="00BA23D3"/>
    <w:rsid w:val="00BC4D6B"/>
    <w:rsid w:val="00BE29A5"/>
    <w:rsid w:val="00C12B51"/>
    <w:rsid w:val="00C24650"/>
    <w:rsid w:val="00C33079"/>
    <w:rsid w:val="00C41E64"/>
    <w:rsid w:val="00C47A0D"/>
    <w:rsid w:val="00C83A13"/>
    <w:rsid w:val="00C9068C"/>
    <w:rsid w:val="00C92967"/>
    <w:rsid w:val="00C92CBB"/>
    <w:rsid w:val="00CA3D0C"/>
    <w:rsid w:val="00CA654B"/>
    <w:rsid w:val="00CC268E"/>
    <w:rsid w:val="00CD4C7B"/>
    <w:rsid w:val="00CD6AF0"/>
    <w:rsid w:val="00CE00F3"/>
    <w:rsid w:val="00CE7BBB"/>
    <w:rsid w:val="00D1408F"/>
    <w:rsid w:val="00D273D6"/>
    <w:rsid w:val="00D3433B"/>
    <w:rsid w:val="00D738D6"/>
    <w:rsid w:val="00D801CD"/>
    <w:rsid w:val="00D80795"/>
    <w:rsid w:val="00D813BA"/>
    <w:rsid w:val="00D87E00"/>
    <w:rsid w:val="00D9134D"/>
    <w:rsid w:val="00D96D11"/>
    <w:rsid w:val="00DA6BE3"/>
    <w:rsid w:val="00DA7A03"/>
    <w:rsid w:val="00DB1818"/>
    <w:rsid w:val="00DC309B"/>
    <w:rsid w:val="00DC42BA"/>
    <w:rsid w:val="00DC4DA2"/>
    <w:rsid w:val="00DD611C"/>
    <w:rsid w:val="00DE35A2"/>
    <w:rsid w:val="00DF1888"/>
    <w:rsid w:val="00E11BA9"/>
    <w:rsid w:val="00E4294C"/>
    <w:rsid w:val="00E62835"/>
    <w:rsid w:val="00E77645"/>
    <w:rsid w:val="00E83697"/>
    <w:rsid w:val="00E97871"/>
    <w:rsid w:val="00EA0E64"/>
    <w:rsid w:val="00EC4A25"/>
    <w:rsid w:val="00EE377E"/>
    <w:rsid w:val="00EE70B7"/>
    <w:rsid w:val="00F025A2"/>
    <w:rsid w:val="00F07388"/>
    <w:rsid w:val="00F16E22"/>
    <w:rsid w:val="00F2026E"/>
    <w:rsid w:val="00F2210A"/>
    <w:rsid w:val="00F309F7"/>
    <w:rsid w:val="00F37743"/>
    <w:rsid w:val="00F40194"/>
    <w:rsid w:val="00F404CB"/>
    <w:rsid w:val="00F54A3D"/>
    <w:rsid w:val="00F60D18"/>
    <w:rsid w:val="00F653B8"/>
    <w:rsid w:val="00F71B89"/>
    <w:rsid w:val="00F7353C"/>
    <w:rsid w:val="00F76F8F"/>
    <w:rsid w:val="00F923BD"/>
    <w:rsid w:val="00F92DCE"/>
    <w:rsid w:val="00F97596"/>
    <w:rsid w:val="00FA1266"/>
    <w:rsid w:val="00FA2294"/>
    <w:rsid w:val="00FC1192"/>
    <w:rsid w:val="00FE7D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CC9B908A-9639-4AF8-8580-8D65F3E87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19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 w:type="character" w:customStyle="1" w:styleId="Heading2Char">
    <w:name w:val="Heading 2 Char"/>
    <w:basedOn w:val="DefaultParagraphFont"/>
    <w:link w:val="Heading2"/>
    <w:rsid w:val="00F40194"/>
    <w:rPr>
      <w:rFonts w:ascii="Arial" w:hAnsi="Arial"/>
      <w:sz w:val="32"/>
      <w:lang w:eastAsia="en-US"/>
    </w:rPr>
  </w:style>
  <w:style w:type="character" w:customStyle="1" w:styleId="Heading3Char">
    <w:name w:val="Heading 3 Char"/>
    <w:basedOn w:val="DefaultParagraphFont"/>
    <w:link w:val="Heading3"/>
    <w:rsid w:val="00181FDB"/>
    <w:rPr>
      <w:rFonts w:ascii="Arial" w:hAnsi="Arial"/>
      <w:sz w:val="28"/>
      <w:lang w:eastAsia="en-US"/>
    </w:rPr>
  </w:style>
  <w:style w:type="character" w:customStyle="1" w:styleId="TFChar">
    <w:name w:val="TF Char"/>
    <w:link w:val="TF"/>
    <w:rsid w:val="00181FDB"/>
    <w:rPr>
      <w:rFonts w:ascii="Arial" w:hAnsi="Arial"/>
      <w:b/>
      <w:lang w:eastAsia="en-US"/>
    </w:rPr>
  </w:style>
  <w:style w:type="character" w:customStyle="1" w:styleId="B1Zchn">
    <w:name w:val="B1 Zchn"/>
    <w:link w:val="B1"/>
    <w:locked/>
    <w:rsid w:val="00181FDB"/>
    <w:rPr>
      <w:lang w:eastAsia="en-US"/>
    </w:rPr>
  </w:style>
  <w:style w:type="character" w:customStyle="1" w:styleId="NOChar">
    <w:name w:val="NO Char"/>
    <w:link w:val="NO"/>
    <w:rsid w:val="00181F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919">
      <w:bodyDiv w:val="1"/>
      <w:marLeft w:val="0"/>
      <w:marRight w:val="0"/>
      <w:marTop w:val="0"/>
      <w:marBottom w:val="0"/>
      <w:divBdr>
        <w:top w:val="none" w:sz="0" w:space="0" w:color="auto"/>
        <w:left w:val="none" w:sz="0" w:space="0" w:color="auto"/>
        <w:bottom w:val="none" w:sz="0" w:space="0" w:color="auto"/>
        <w:right w:val="none" w:sz="0" w:space="0" w:color="auto"/>
      </w:divBdr>
    </w:div>
    <w:div w:id="14359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D7E7-A17A-4D70-A06B-B101E0A0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344</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Completion of the RRC tunnelling in MR-DC</vt:lpstr>
    </vt:vector>
  </TitlesOfParts>
  <Company>Nokia Siemens Networks</Company>
  <LinksUpToDate>false</LinksUpToDate>
  <CharactersWithSpaces>2410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of the RRC tunnelling in MR-DC</dc:title>
  <dc:subject>3GPP RAN3 #97-bis</dc:subject>
  <dc:creator>Kordybach, Krzysztof (Nokia - PL/Wroclaw)</dc:creator>
  <cp:lastModifiedBy>Nokia</cp:lastModifiedBy>
  <cp:revision>4</cp:revision>
  <dcterms:created xsi:type="dcterms:W3CDTF">2017-10-13T07:10:00Z</dcterms:created>
  <dcterms:modified xsi:type="dcterms:W3CDTF">2017-10-13T07:50:00Z</dcterms:modified>
</cp:coreProperties>
</file>